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0D3F22ED" w:rsidR="00FC5552" w:rsidRPr="00FC5552" w:rsidRDefault="005B0035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 w:rsidRPr="005B003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路面電車停留場電灯及び融雪設備で使用する電力</w:t>
                  </w:r>
                </w:p>
                <w:p w14:paraId="16EB4919" w14:textId="5C358AFB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B0035" w:rsidRPr="005B0035">
                    <w:rPr>
                      <w:rFonts w:hint="eastAsia"/>
                      <w:sz w:val="28"/>
                      <w:szCs w:val="28"/>
                    </w:rPr>
                    <w:t>６８，０５０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68417A61" w14:textId="77777777" w:rsidR="009E31AB" w:rsidRPr="00EB53FA" w:rsidRDefault="009E31AB" w:rsidP="009E31AB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66871BC6" w14:textId="77777777" w:rsidR="009E31AB" w:rsidRPr="00024701" w:rsidRDefault="009E31AB" w:rsidP="00E144D2">
            <w:pPr>
              <w:ind w:right="120"/>
              <w:rPr>
                <w:rFonts w:hint="eastAsia"/>
              </w:rPr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1B648222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18BF8CBE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代理人が入札する場合の訂正は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金額の訂正はできない）。</w:t>
      </w:r>
    </w:p>
    <w:p w14:paraId="730EFA3C" w14:textId="77777777" w:rsidR="0012492B" w:rsidRPr="008E7821" w:rsidRDefault="00CC0D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　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B0035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75CF9"/>
    <w:rsid w:val="008E7783"/>
    <w:rsid w:val="008E7821"/>
    <w:rsid w:val="00905592"/>
    <w:rsid w:val="00995D14"/>
    <w:rsid w:val="009E31AB"/>
    <w:rsid w:val="00A00EEF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増田 典子</cp:lastModifiedBy>
  <cp:revision>9</cp:revision>
  <cp:lastPrinted>2021-07-08T05:55:00Z</cp:lastPrinted>
  <dcterms:created xsi:type="dcterms:W3CDTF">2020-07-02T10:24:00Z</dcterms:created>
  <dcterms:modified xsi:type="dcterms:W3CDTF">2021-07-08T05:56:00Z</dcterms:modified>
</cp:coreProperties>
</file>